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900"/>
      </w:pPr>
      <w:r>
        <w:rPr>
          <w:sz w:val="2"/>
          <w:szCs w:val="2"/>
        </w:rPr>
        <w:t xml:space="preserve"/>
      </w:r>
    </w:p>
    <w:p>
      <w:pPr>
        <w:spacing w:after="40"/>
      </w:pPr>
      <w:r>
        <w:rPr>
          <w:rFonts w:ascii="Familjen Grotesk" w:cs="Familjen Grotesk" w:eastAsia="Familjen Grotesk" w:hAnsi="Familjen Grotesk"/>
          <w:b/>
          <w:bCs/>
          <w:color w:val="D9351F"/>
          <w:spacing w:val="-30"/>
          <w:sz w:val="60"/>
          <w:szCs w:val="60"/>
        </w:rPr>
        <w:t xml:space="preserve">POR</w:t>
      </w:r>
    </w:p>
    <w:p>
      <w:pPr>
        <w:spacing w:after="260"/>
      </w:pPr>
      <w:r>
        <w:rPr>
          <w:rFonts w:ascii="Familjen Grotesk" w:cs="Familjen Grotesk" w:eastAsia="Familjen Grotesk" w:hAnsi="Familjen Grotesk"/>
          <w:b/>
          <w:bCs/>
          <w:color w:val="0E7A5F"/>
          <w:spacing w:val="-30"/>
          <w:sz w:val="60"/>
          <w:szCs w:val="60"/>
        </w:rPr>
        <w:t xml:space="preserve">ÁGUILAS</w:t>
      </w:r>
    </w:p>
    <w:p>
      <w:pPr>
        <w:pBdr>
          <w:bottom w:val="single" w:color="D9351F" w:sz="18"/>
        </w:pBdr>
        <w:spacing w:after="300"/>
      </w:pPr>
      <w:r>
        <w:rPr>
          <w:sz w:val="2"/>
          <w:szCs w:val="2"/>
        </w:rPr>
        <w:t xml:space="preserve"/>
      </w:r>
    </w:p>
    <w:p>
      <w:pPr>
        <w:spacing w:after="160" w:before="0" w:line="276"/>
      </w:pPr>
      <w:r>
        <w:rPr>
          <w:rFonts w:ascii="Familjen Grotesk" w:cs="Familjen Grotesk" w:eastAsia="Familjen Grotesk" w:hAnsi="Familjen Grotesk"/>
          <w:b/>
          <w:bCs/>
          <w:i w:val="false"/>
          <w:iCs w:val="false"/>
          <w:caps w:val="false"/>
          <w:color w:val="141414"/>
          <w:sz w:val="40"/>
          <w:szCs w:val="40"/>
        </w:rPr>
        <w:t xml:space="preserve">Programa municipal 2027</w:t>
      </w:r>
    </w:p>
    <w:p>
      <w:pPr>
        <w:spacing w:after="400" w:before="0" w:line="276"/>
      </w:pPr>
      <w:r>
        <w:rPr>
          <w:rFonts w:ascii="Familjen Grotesk" w:cs="Familjen Grotesk" w:eastAsia="Familjen Grotesk" w:hAnsi="Familjen Grotesk"/>
          <w:b/>
          <w:bCs/>
          <w:i w:val="false"/>
          <w:iCs w:val="false"/>
          <w:caps w:val="false"/>
          <w:color w:val="0A5C47"/>
          <w:sz w:val="26"/>
          <w:szCs w:val="26"/>
        </w:rPr>
        <w:t xml:space="preserve">Águilas se vive todo el año.</w:t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141414"/>
          <w:sz w:val="15"/>
          <w:szCs w:val="15"/>
        </w:rPr>
        <w:t xml:space="preserve">CANDIDATURA DE UNIDAD DE LA IZQUIERDA · IU + PCE</w:t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141414"/>
          <w:sz w:val="15"/>
          <w:szCs w:val="15"/>
        </w:rPr>
        <w:t xml:space="preserve">ELECCIONES MUNICIPALES DE ÁGUILAS · 23 DE MAYO DE 2027</w:t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D9351F"/>
          <w:sz w:val="15"/>
          <w:szCs w:val="15"/>
        </w:rPr>
        <w:t xml:space="preserve">BORRADOR DE TRABAJO · VERSIÓN 1 · SEPTIEMBRE DE 2026</w:t>
      </w:r>
    </w:p>
    <w:p>
      <w:pPr>
        <w:spacing w:before="900"/>
      </w:pPr>
      <w:r>
        <w:rPr>
          <w:rFonts w:ascii="Public Sans" w:cs="Public Sans" w:eastAsia="Public Sans" w:hAnsi="Public Sans"/>
          <w:i/>
          <w:iCs/>
          <w:color w:val="5A5A5A"/>
          <w:sz w:val="16"/>
          <w:szCs w:val="16"/>
        </w:rPr>
        <w:t xml:space="preserve">Documento interno de la candidatura. Las cifras llevan fuente al final. Antes de publicarlo hay que actualizar los datos que caduquen y sustituir los plazos aproximados por fechas cerradas.</w:t>
      </w:r>
    </w:p>
    <w:p>
      <w:r>
        <w:br w:type="pag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01 · EL PUNTO DE PARTIDA</w:t>
      </w:r>
    </w:p>
    <w:p>
      <w:pPr>
        <w:pStyle w:val="Heading1"/>
        <w:spacing w:after="140" w:before="260"/>
      </w:pPr>
      <w:r>
        <w:rPr>
          <w:rFonts w:ascii="Familjen Grotesk" w:cs="Familjen Grotesk" w:eastAsia="Familjen Grotesk" w:hAnsi="Familjen Grotesk"/>
          <w:b/>
          <w:bCs/>
          <w:color w:val="0E7A5F"/>
          <w:sz w:val="34"/>
          <w:szCs w:val="34"/>
        </w:rPr>
        <w:t xml:space="preserve">Qué ha cambiado desde 2023</w:t>
      </w:r>
    </w:p>
    <w:p>
      <w:pPr>
        <w:pBdr>
          <w:bottom w:val="single" w:color="D9351F" w:sz="12"/>
        </w:pBdr>
        <w:spacing w:after="200" w:before="0"/>
      </w:pPr>
      <w:r>
        <w:rPr>
          <w:sz w:val="2"/>
          <w:szCs w:val="2"/>
        </w:rPr>
        <w:t xml:space="preserve"/>
      </w:r>
    </w:p>
    <w:p>
      <w:pPr>
        <w:spacing w:after="14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El programa con el que concurrimos en 2023 abría por el empleo y despachaba la vivienda en unas líneas dentro del capítulo de desarrollo local. Entonces tenía sentido: veníamos de una crisis y de una pandemia, y el paro era lo primero que la gente nombraba al abrir la puerta. Hoy no lo es.</w:t>
      </w:r>
    </w:p>
    <w:p>
      <w:pPr>
        <w:spacing w:after="14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Este programa mantiene casi todo lo que defendíamos. Lo que cambia es el orden, y el orden importa: es lo que dice a un vecino si hablamos de lo suyo o de lo nuestro. Cambia también el tamaño. El de 2023 sumaba varios cientos de propuestas repartidas en cuatro documentos que se repetían entre sí. Este cabe en un rato de lectura y cada punto se puede comprobar.</w:t>
      </w:r>
    </w:p>
    <w:p>
      <w:pPr>
        <w:pStyle w:val="Heading2"/>
        <w:spacing w:after="120" w:before="300"/>
      </w:pPr>
      <w:r>
        <w:rPr>
          <w:rFonts w:ascii="Familjen Grotesk" w:cs="Familjen Grotesk" w:eastAsia="Familjen Grotesk" w:hAnsi="Familjen Grotesk"/>
          <w:b/>
          <w:bCs/>
          <w:color w:val="141414"/>
          <w:sz w:val="24"/>
          <w:szCs w:val="24"/>
        </w:rPr>
        <w:t xml:space="preserve">Cinco datos que explican el cambio de orden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La vivienda es el primer problema de España para casi la mitad de la población, un récord en toda la serie del CIS. La crisis económica queda en el 20,7 %, la inmigración en el 18,9 % y la sanidad en el 17,8 %.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El metro cuadrado en Águilas se pagaba a 1.649 € en julio de 2026, un 8,8 % más que un año antes. En Calabardina-Cope sube un 15,2 %; en El Hornillo el metro va por 2.563 €, casi el doble que en el Centro.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En España, el alquiler se come el 98,7 % del salario de una persona joven y solo el 15,2 % de la juventud vive fuera de casa de sus padres, mínimo histórico. Aquí eso se llama irse a Lorca o a Murcia.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Águilas tenía 1.741 personas en paro registrado en julio de 2026, frente a más de 2.800 en 2021. El paro ha bajado. Lo que no ha bajado es la estacionalidad: el grupo más numeroso, 584 personas, es el de hostelería, comercio y servicios personales.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El municipio ha pasado de 25.551 habitantes en 1993 a 37.811 en 2025, y en verano se multiplica. Hemos crecido casi un 50 % en treinta años sin que crecieran al mismo ritmo el centro de salud, las plazas de escuela infantil ni el transporte.</w:t>
      </w:r>
    </w:p>
    <w:p>
      <w:pPr>
        <w:pStyle w:val="Heading2"/>
        <w:spacing w:after="120" w:before="300"/>
      </w:pPr>
      <w:r>
        <w:rPr>
          <w:rFonts w:ascii="Familjen Grotesk" w:cs="Familjen Grotesk" w:eastAsia="Familjen Grotesk" w:hAnsi="Familjen Grotesk"/>
          <w:b/>
          <w:bCs/>
          <w:color w:val="141414"/>
          <w:sz w:val="24"/>
          <w:szCs w:val="24"/>
        </w:rPr>
        <w:t xml:space="preserve">El nuevo orden, y por qué</w:t>
      </w:r>
    </w:p>
    <w:p>
      <w:pPr>
        <w:spacing w:after="18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Cuatro ejes, no diez capítulos. Todo lo que defendíamos sigue dentro; lo que cambia es dónde está y con qué peso.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100"/>
        <w:gridCol w:w="2100"/>
        <w:gridCol w:w="3600"/>
      </w:tblGrid>
      <w:tr>
        <w:trPr>
          <w:tblHeader/>
        </w:trPr>
        <w:tc>
          <w:tcPr>
            <w:tcW w:type="dxa" w:w="15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Bloque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En 2023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En 2027</w:t>
            </w:r>
          </w:p>
        </w:tc>
        <w:tc>
          <w:tcPr>
            <w:tcW w:type="dxa" w:w="3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Por qué</w:t>
            </w:r>
          </w:p>
        </w:tc>
      </w:tr>
      <w:tr>
        <w:tc>
          <w:tcPr>
            <w:tcW w:type="dxa" w:w="15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Vivienda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Unas líneas dentro de «Desarrollo local»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Eje 01, el primero de todos</w:t>
            </w:r>
          </w:p>
        </w:tc>
        <w:tc>
          <w:tcPr>
            <w:tcW w:type="dxa" w:w="3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Primer problema del país y el que más se ha agravado aquí, por la presión de la segunda residencia sobre un parque pequeño.</w:t>
            </w:r>
          </w:p>
        </w:tc>
      </w:tr>
      <w:tr>
        <w:tc>
          <w:tcPr>
            <w:tcW w:type="dxa" w:w="15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Sanidad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Apartado 3.1, dentro de política social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Cabeza del eje 02</w:t>
            </w:r>
          </w:p>
        </w:tc>
        <w:tc>
          <w:tcPr>
            <w:tcW w:type="dxa" w:w="3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El CIAR abre a finales de 2026 con menos servicios de los prometidos. Es el asunto que más moviliza en el pueblo.</w:t>
            </w:r>
          </w:p>
        </w:tc>
      </w:tr>
      <w:tr>
        <w:tc>
          <w:tcPr>
            <w:tcW w:type="dxa" w:w="15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Agua y litoral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Repartido entre agricultura, turismo y urbanismo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Capítulo propio dentro del eje 03</w:t>
            </w:r>
          </w:p>
        </w:tc>
        <w:tc>
          <w:tcPr>
            <w:tcW w:type="dxa" w:w="3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Sequía, ampliación de la desaladora y presión urbanística sobre la costa. Sin agua y sin costa no hay ni agricultura ni turismo.</w:t>
            </w:r>
          </w:p>
        </w:tc>
      </w:tr>
      <w:tr>
        <w:tc>
          <w:tcPr>
            <w:tcW w:type="dxa" w:w="15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Tren y movilidad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Subapartado de infraestructuras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Eje 03, con calendario exigible</w:t>
            </w:r>
          </w:p>
        </w:tc>
        <w:tc>
          <w:tcPr>
            <w:tcW w:type="dxa" w:w="3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Llevamos años sin cercanías y la vuelta se ha aplazado a otoño de 2027. Ya no es una petición: es una reclamación con fecha.</w:t>
            </w:r>
          </w:p>
        </w:tc>
      </w:tr>
      <w:tr>
        <w:tc>
          <w:tcPr>
            <w:tcW w:type="dxa" w:w="15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Empleo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Eje 1, el que abría el programa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Repartido por el eje 03, ligado a cada sector</w:t>
            </w:r>
          </w:p>
        </w:tc>
        <w:tc>
          <w:tcPr>
            <w:tcW w:type="dxa" w:w="3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El paro registrado ha bajado más de un tercio desde 2021. El problema ya no es cuántos empleos hay, sino de qué calidad y cuántos meses duran.</w:t>
            </w:r>
          </w:p>
        </w:tc>
      </w:tr>
      <w:tr>
        <w:tc>
          <w:tcPr>
            <w:tcW w:type="dxa" w:w="15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Convivencia y migración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Capítulo aparte al final de política social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Integrado en los ejes 02 y 04</w:t>
            </w:r>
          </w:p>
        </w:tc>
        <w:tc>
          <w:tcPr>
            <w:tcW w:type="dxa" w:w="3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Es la tercera preocupación declarada en España. Se responde con servicios que lleguen a todos y con las mismas reglas para todos, no con un capítulo defensivo al final.</w:t>
            </w:r>
          </w:p>
        </w:tc>
      </w:tr>
      <w:tr>
        <w:tc>
          <w:tcPr>
            <w:tcW w:type="dxa" w:w="15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Participación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Doce consejos sectoriales por crear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Cuatro órganos con presupuesto y capacidad de decidir</w:t>
            </w:r>
          </w:p>
        </w:tc>
        <w:tc>
          <w:tcPr>
            <w:tcW w:type="dxa" w:w="3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Doce consejos consultivos no son más democracia que cuatro que decidan sobre dinero real.</w:t>
            </w:r>
          </w:p>
        </w:tc>
      </w:tr>
      <w:tr>
        <w:tc>
          <w:tcPr>
            <w:tcW w:type="dxa" w:w="15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Cultura, deporte, fiestas y juventud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Cuatro capítulos separados con casi cien propuestas</w:t>
            </w:r>
          </w:p>
        </w:tc>
        <w:tc>
          <w:tcPr>
            <w:tcW w:type="dxa" w:w="2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Dentro del eje 02, como servicio público</w:t>
            </w:r>
          </w:p>
        </w:tc>
        <w:tc>
          <w:tcPr>
            <w:tcW w:type="dxa" w:w="3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Se juzgan por lo mismo que la sanidad: si están abiertos todo el año y si llegan a los barrios y a las pedanías.</w:t>
            </w:r>
          </w:p>
        </w:tc>
      </w:tr>
    </w:tbl>
    <w:p>
      <w:pPr>
        <w:pStyle w:val="Heading2"/>
        <w:spacing w:after="120" w:before="300"/>
      </w:pPr>
      <w:r>
        <w:rPr>
          <w:rFonts w:ascii="Familjen Grotesk" w:cs="Familjen Grotesk" w:eastAsia="Familjen Grotesk" w:hAnsi="Familjen Grotesk"/>
          <w:b/>
          <w:bCs/>
          <w:color w:val="141414"/>
          <w:sz w:val="24"/>
          <w:szCs w:val="24"/>
        </w:rPr>
        <w:t xml:space="preserve">Qué hemos quitado, y por qué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Lo que ya ha pasado. </w:t>
      </w: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Las referencias a la pandemia, a los fondos de recuperación y a la reapertura provisional del ferrocarril describían 2022, no 2027.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Lo que se repetía. </w:t>
      </w: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Las escuelas taller, las cláusulas sociales o la industria agroalimentaria aparecían tres y cuatro veces en documentos distintos. Ahora aparecen una vez, donde toca.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Lo que no depende del Ayuntamiento y se prometía como si dependiera. </w:t>
      </w: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Sigue estando, pero en su sitio: el capítulo final dice quién decide cada cosa y qué haremos nosotros para empujarla.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Lo que no se podía comprobar. </w:t>
      </w: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Cuando una propuesta no tenía ni plazo, ni coste, ni forma de saber si se ha cumplido, o se ha concretado o se ha caído.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El lenguaje de partido. </w:t>
      </w: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«Impulsaremos», «potenciaremos», «apostamos por». Si no dice quién hace qué y para cuándo, no dice nada.</w:t>
      </w:r>
    </w:p>
    <w:p>
      <w:r>
        <w:br w:type="pag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02 · LO ESENCIAL</w:t>
      </w:r>
    </w:p>
    <w:p>
      <w:pPr>
        <w:pStyle w:val="Heading1"/>
        <w:spacing w:after="140" w:before="260"/>
      </w:pPr>
      <w:r>
        <w:rPr>
          <w:rFonts w:ascii="Familjen Grotesk" w:cs="Familjen Grotesk" w:eastAsia="Familjen Grotesk" w:hAnsi="Familjen Grotesk"/>
          <w:b/>
          <w:bCs/>
          <w:color w:val="0E7A5F"/>
          <w:sz w:val="34"/>
          <w:szCs w:val="34"/>
        </w:rPr>
        <w:t xml:space="preserve">Quince medidas para empezar</w:t>
      </w:r>
    </w:p>
    <w:p>
      <w:pPr>
        <w:pBdr>
          <w:bottom w:val="single" w:color="D9351F" w:sz="12"/>
        </w:pBdr>
        <w:spacing w:after="200" w:before="0"/>
      </w:pPr>
      <w:r>
        <w:rPr>
          <w:sz w:val="2"/>
          <w:szCs w:val="2"/>
        </w:rPr>
        <w:t xml:space="preserve"/>
      </w:r>
    </w:p>
    <w:p>
      <w:pPr>
        <w:spacing w:after="22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Las quince que definen el mandato. Si en cuatro años solo se hubieran hecho estas, habría merecido la pena.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01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Empresa municipal de vivienda.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Con suelo público ya disponible y un primer parque de 100 viviendas en alquiler asequible durante el mandato. Titularidad pública permanente: ni una se vende.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02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Censo público de vivienda vacía y recargo del IBI a grandes tenedores.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Hasta el máximo que permite la ley —que llega al 150 % para quien acumula viviendas vacías—, con la recaudación afectada por ordenanza a alquiler asequible. Censo publicado y actualizado cada año.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03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Registro municipal de viviendas de uso turístico, con techo por barrio.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Un máximo de plazas turísticas por cada cien viviendas en cada zona. Donde ya se supere, licencia denegada. Inspección real, no formulario.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04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Calendario público y por escrito del CIAR.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Qué servicio abre, en qué fecha y con cuánta plantilla. Y mientras no estén, transporte sanitario gratuito a Lorca para toda consulta derivada.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05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Radiología en urgencias 24 horas y centro de salud Águilas Sur abierto los sábados.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Es lo que tienen los municipios de nuestro tamaño en la Región. Aquí no.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06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Auditoría pública del ciclo del agua.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Rendimiento de la red, pérdidas, tarifa, inversión comprometida y ejecutada. Publicada antes de renovar ninguna concesión, no después.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07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Moratoria en primera línea de costa.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Ningún desarrollo nuevo en primera línea hasta que haya un plan del litoral participado y aprobado en pleno.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08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Plan municipal de energía.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Fotovoltaica en todas las cubiertas municipales, empezando por colegios y polideportivo, y una comunidad energética por barrio con reserva de participaciones para hogares vulnerables.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09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Escuela infantil pública de 0 a 3 años, gratuita y con horario real.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Adaptada a la jornada agrícola y hostelera, que empieza antes de las ocho y no acaba a las tres.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10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Plan de desestacionalización con objetivo medible.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Que la ocupación entre octubre y mayo suba diez puntos en el mandato. Ecoturismo, patrimonio minero y ferroviario, deporte y congresos. Publicando el dato cada trimestre.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11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Cláusulas sociales obligatorias en toda la contratación municipal.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Convenio del sector, estabilidad en plantilla, límite a la subcontratación en cadena y pérdida del contrato al incumplirlas.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12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Presupuestos participativos vinculantes sobre el 25 % de la inversión.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Vinculantes de verdad: lo que se vota se ejecuta, y la ejecución se publica cada trimestre con nombre de obra y euros gastados.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13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Todos los contratos menores publicados y buscables.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En un portal que funcione, con proveedor, importe y objeto. Plenos por la tarde y retransmitidos.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14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Reclamación con fecha del cercanías Murcia-Lorca-Águilas.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Por escrito, con plazo y con recurso si no hay respuesta. La ubicación de la estación se decide en consulta a los vecinos, no en un despacho.</w:t>
      </w:r>
    </w:p>
    <w:p>
      <w:pPr>
        <w:spacing w:after="30" w:before="100" w:line="252"/>
        <w:ind w:left="460" w:hanging="460"/>
      </w:pPr>
      <w:r>
        <w:rPr>
          <w:rFonts w:ascii="Familjen Grotesk" w:cs="Familjen Grotesk" w:eastAsia="Familjen Grotesk" w:hAnsi="Familjen Grotesk"/>
          <w:b/>
          <w:bCs/>
          <w:color w:val="D9351F"/>
          <w:sz w:val="20"/>
          <w:szCs w:val="20"/>
        </w:rPr>
        <w:t xml:space="preserve">15  </w:t>
      </w:r>
      <w:r>
        <w:rPr>
          <w:rFonts w:ascii="Public Sans" w:cs="Public Sans" w:eastAsia="Public Sans" w:hAnsi="Public Sans"/>
          <w:b/>
          <w:bCs/>
          <w:color w:val="141414"/>
          <w:sz w:val="20"/>
          <w:szCs w:val="20"/>
        </w:rPr>
        <w:t xml:space="preserve">Oficina única de vivienda, suministros y ayudas.</w:t>
      </w:r>
    </w:p>
    <w:p>
      <w:pPr>
        <w:spacing w:after="40" w:before="0" w:line="252"/>
        <w:ind w:left="460"/>
      </w:pPr>
      <w:r>
        <w:rPr>
          <w:rFonts w:ascii="Public Sans" w:cs="Public Sans" w:eastAsia="Public Sans" w:hAnsi="Public Sans"/>
          <w:color w:val="141414"/>
          <w:sz w:val="19"/>
          <w:szCs w:val="19"/>
        </w:rPr>
        <w:t xml:space="preserve">Un solo mostrador para alquiler, pobreza energética, dependencia y ayudas de urgencia, con cita en menos de 72 horas y respuesta en menos de quince días.</w:t>
      </w:r>
    </w:p>
    <w:p>
      <w:r>
        <w:br w:type="pag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EJE 01</w:t>
      </w:r>
    </w:p>
    <w:p>
      <w:pPr>
        <w:pStyle w:val="Heading1"/>
        <w:spacing w:after="140" w:before="260"/>
      </w:pPr>
      <w:r>
        <w:rPr>
          <w:rFonts w:ascii="Familjen Grotesk" w:cs="Familjen Grotesk" w:eastAsia="Familjen Grotesk" w:hAnsi="Familjen Grotesk"/>
          <w:b/>
          <w:bCs/>
          <w:color w:val="0E7A5F"/>
          <w:sz w:val="34"/>
          <w:szCs w:val="34"/>
        </w:rPr>
        <w:t xml:space="preserve">Vivienda y coste de vida</w:t>
      </w:r>
    </w:p>
    <w:p>
      <w:pPr>
        <w:spacing w:after="120" w:before="0" w:line="276"/>
      </w:pPr>
      <w:r>
        <w:rPr>
          <w:rFonts w:ascii="Familjen Grotesk" w:cs="Familjen Grotesk" w:eastAsia="Familjen Grotesk" w:hAnsi="Familjen Grotesk"/>
          <w:b/>
          <w:bCs/>
          <w:i w:val="false"/>
          <w:iCs w:val="false"/>
          <w:caps w:val="false"/>
          <w:color w:val="0A5C47"/>
          <w:sz w:val="22"/>
          <w:szCs w:val="22"/>
        </w:rPr>
        <w:t xml:space="preserve">Que se pueda quedar quien quiera quedarse.</w:t>
      </w:r>
    </w:p>
    <w:p>
      <w:pPr>
        <w:pBdr>
          <w:bottom w:val="single" w:color="D9351F" w:sz="12"/>
        </w:pBdr>
        <w:spacing w:after="200" w:before="0"/>
      </w:pPr>
      <w:r>
        <w:rPr>
          <w:sz w:val="2"/>
          <w:szCs w:val="2"/>
        </w:rPr>
        <w:t xml:space="preserv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EL PROBLEMA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En Águilas no falta vivienda: falta vivienda para quien vive aquí en febrero. El parque crece, pero crece hacia la costa y hacia la temporada. El metro cuadrado sube un 8,8 % en un año y un 15,2 % en Calabardina-Cope, mientras el salario de la hostelería y del campo se queda donde estaba.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El resultado se ve sin estadística: gente joven que se va a Lorca, familias que encadenan alquileres de nueve meses porque en verano el piso vale el triple, y trabajadores de temporada durmiendo en condiciones que nadie inspecciona.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El enemigo no es el vecino que alquila un apartamento para llegar a fin de mes. Es un modelo que trata la vivienda como negocio de temporada y deja el resto del año sin cubrir.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Qué haremos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Crear la empresa municipal de vivienda, con patrimonio municipal de suelo aportado desde el primer presupuesto y un objetivo de 100 viviendas de alquiler asequible en el mandato, de titularidad pública permanente.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Elaborar y publicar el censo de vivienda vacía del municipio, cruzando padrón, consumos de agua y luz y datos catastrales, con la metodología publicada.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Aplicar el recargo en el IBI a la vivienda desocupada hasta el máximo que permite la Ley 12/2023: 50 % de base, ampliable al 100 % a partir de tres años vacía y al 150 % cuando el titular acumula varias viviendas desocupadas en el municipio. La recaudación, afectada por ordenanza a la política de alquiler asequible.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Crear el registro municipal de viviendas de uso turístico y fijar un techo de plazas por cada cien viviendas en cada barrio y pedanía. Donde se supere, no se conceden nuevas. Inspección con personal propio y régimen sancionador que se aplique.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Poner en marcha la bolsa municipal de alquiler asequible: el Ayuntamiento avala la renta y cubre el seguro de impago al propietario que alquile todo el año por debajo del precio de referencia.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Reservar el 30 % de toda promoción nueva a vivienda protegida en alquiler, y no recalificar suelo sin esa reserva.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Crear la oficina única de vivienda, suministros y ayudas, con cita en menos de 72 horas, servicio antidesahucios y mediación con la propiedad y con la banca.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Ordenanza de suministros básicos: prohibición de corte de agua a familias en situación de vulnerabilidad acreditada por servicios sociales, bono social municipal automático para pensiones por debajo del salario mínimo y auditoría del recibo del agua.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de alojamiento para trabajadores de temporada, negociado con empresas agrícolas y hosteleras, con estándares mínimos publicados e inspección municipal.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Rehabilitar el parque construido antes de gastar en suelo nuevo: ayudas municipales a la rehabilitación energética y a la eliminación de barreras en los barrios del casco y en los cabezos, priorizando bloques sin ascensor.</w:t>
      </w:r>
    </w:p>
    <w:p>
      <w:r>
        <w:br w:type="pag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EJE 02</w:t>
      </w:r>
    </w:p>
    <w:p>
      <w:pPr>
        <w:pStyle w:val="Heading1"/>
        <w:spacing w:after="140" w:before="260"/>
      </w:pPr>
      <w:r>
        <w:rPr>
          <w:rFonts w:ascii="Familjen Grotesk" w:cs="Familjen Grotesk" w:eastAsia="Familjen Grotesk" w:hAnsi="Familjen Grotesk"/>
          <w:b/>
          <w:bCs/>
          <w:color w:val="0E7A5F"/>
          <w:sz w:val="34"/>
          <w:szCs w:val="34"/>
        </w:rPr>
        <w:t xml:space="preserve">Servicios públicos y cuidados</w:t>
      </w:r>
    </w:p>
    <w:p>
      <w:pPr>
        <w:spacing w:after="120" w:before="0" w:line="276"/>
      </w:pPr>
      <w:r>
        <w:rPr>
          <w:rFonts w:ascii="Familjen Grotesk" w:cs="Familjen Grotesk" w:eastAsia="Familjen Grotesk" w:hAnsi="Familjen Grotesk"/>
          <w:b/>
          <w:bCs/>
          <w:i w:val="false"/>
          <w:iCs w:val="false"/>
          <w:caps w:val="false"/>
          <w:color w:val="0A5C47"/>
          <w:sz w:val="22"/>
          <w:szCs w:val="22"/>
        </w:rPr>
        <w:t xml:space="preserve">Aquí no sobra nadie.</w:t>
      </w:r>
    </w:p>
    <w:p>
      <w:pPr>
        <w:pBdr>
          <w:bottom w:val="single" w:color="D9351F" w:sz="12"/>
        </w:pBdr>
        <w:spacing w:after="200" w:before="0"/>
      </w:pPr>
      <w:r>
        <w:rPr>
          <w:sz w:val="2"/>
          <w:szCs w:val="2"/>
        </w:rPr>
        <w:t xml:space="preserv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EL PROBLEMA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Somos casi 38.000 personas en invierno y muchas más en verano, con servicios dimensionados para el pueblo que éramos hace veinte años. El CIAR abrirá a finales de 2026, pero según la información disponible lo hará con salud mental, urgencias y atención a desplazados: servicios que ya funcionan aquí. Sin laboratorio, sin hospitalización de corta estancia, sin cirugía menor ambulatoria y con la radiología sin garantizar. Mientras tanto, el gasto en pruebas de imagen concertadas con la privada ha crecido cerca de un 50 % en cinco años.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Con la educación, los cuidados, la cultura y el deporte pasa lo mismo: existen, pero cierran fuera de temporada, no llegan a las pedanías y dependen de que la familia pueda pagar o llevar en coche.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Este eje se juzga con una sola pregunta: ¿está abierto en febrero y llega al barrio?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Sanidad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Exigir por escrito, con registro de entrada y plazo de respuesta, el calendario de apertura del CIAR servicio a servicio, con la plantilla de cada uno. Publicarlo íntegro, respondan lo que respondan.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Reclamar laboratorio, cirugía menor ambulatoria, hospitalización de corta estancia y radiología en el CIAR: sin eso no es un centro de alta resolución, es una mudanza.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Radiología en las urgencias del centro de salud Águilas Norte las 24 horas, incluidos festivos.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Apertura del centro de salud Águilas Sur los sábados por la mañana, como en el resto de la Región.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Convertir la Casa del Mar en centro de especialidades mientras el CIAR no esté completo, con las consultas más derivadas al menos una vez por semana.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Transporte sanitario gratuito a Lorca para consultas derivadas, financiado por el Ayuntamiento mientras el servicio no esté aquí, y reclamado a la Comunidad.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Consejo de Salud de Águilas con profesionales, pacientes y las dos administraciones, que se reúna con orden del día público y acta publicada.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Mapa de vulnerabilidad en salud por barrios y pedanías, con datos separados por sexo, y un plan anual con presupuesto para los barrios peor situados.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Educación e infancia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Escuela infantil pública de 0 a 3 años gratuita, con plazas suficientes y horario adaptado a la jornada agrícola y hostelera.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Ampliar el equipo municipal de absentismo escolar hasta poder hacer seguimiento caso a caso, con visita a los centros y a las familias, y publicar la cifra de absentismo cada curso.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Comedor escolar abierto todo el año, incluidos periodos no lectivos, con producto de kilómetro cero y sin que ningún niño quede fuera por impago.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Reclamar y acompañar con suelo y locales la ampliación de la formación profesional en lo que aquí da trabajo: náutico-pesquera, agroalimentaria, energías renovables, mantenimiento hotelero y sociosanitaria.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Ayudas de transporte para quien estudia fuera, con cuantía publicada y baremo objetivo.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Instalaciones deportivas de los colegios abiertas al barrio fuera del horario escolar, con conserjería pagada por el Ayuntamiento.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Servicios sociales, mayores y dependencia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Ordenanza de ayudas de urgencia con baremo público, plazo máximo de quince días y silencio positivo.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Ampliar la ayuda a domicilio y la teleasistencia hasta cubrir toda la lista de espera municipal, y publicar esa lista cada trimestre.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Centro de día y respiro familiar para personas con demencia, en convenio con las entidades que ya trabajan aquí.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Garantía municipal de alimentación: economato social, comedor y cocina en un mismo espacio, gestionado con Cáritas, Cruz Roja y las entidades del municipio, sin colas a la vista de nadie.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de barrio para las zonas con peores indicadores, con presupuesto finalista y evaluación anual publicada.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Igualdad y vida libre de violencia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Casa de acogida para mujeres víctimas de violencia machista en el municipio, o plaza concertada garantizada y accesible en menos de 24 horas.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Reforzar el Centro de Información y Asesoramiento de la Mujer con atención psicológica y jurídica estable, no por campañas.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de igualdad del propio Ayuntamiento, auditado y publicado, y formación obligatoria a toda la plantilla municipal, policía local incluida.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Atención específica a las mujeres del campo y a las trabajadoras migrantes, con el asesoramiento laboral conveniado con los sindicatos.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Juventud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Consejo de la Juventud constituido en los seis primeros meses de mandato, con presupuesto propio y voz en el pleno.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Local de ensayo y grabación de gestión juvenil, con horario nocturno y de fin de semana.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Programación de ocio alternativo todo el año, decidida por quienes la usan, no programada desde la concejalía.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Prioridad juvenil en el alquiler asequible municipal: reserva de un tercio del parque para menores de 35 años.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Cultura y deporte, todo el año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Centro de artes escénicas y espacio sociocultural autogestionado por las asociaciones, con calendario propio de octubre a mayo.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Programación cultural y deportiva descentralizada: cada barrio y cada pedanía con actividad estable fuera de verano.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Biblioteca municipal con horario ampliado, tarde y sábado, y fondo pensado también para quien estudia una oposición o una carrera a distancia.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Recuperación de patrimonio con uso: refugios de la guerra, Plaza del Caño, El Hornillo y patrimonio minero, cada uno con un uso concreto y un mantenimiento presupuestado.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Carnaval hacia la autogestión, con las peñas decidiendo el reparto en un consejo con reglas escritas, y apoyo material estable en lugar de subvención discrecional.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Escuelas deportivas municipales con cuota proporcional a la renta y transporte desde las pedanías.</w:t>
      </w:r>
    </w:p>
    <w:p>
      <w:r>
        <w:br w:type="pag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EJE 03</w:t>
      </w:r>
    </w:p>
    <w:p>
      <w:pPr>
        <w:pStyle w:val="Heading1"/>
        <w:spacing w:after="140" w:before="260"/>
      </w:pPr>
      <w:r>
        <w:rPr>
          <w:rFonts w:ascii="Familjen Grotesk" w:cs="Familjen Grotesk" w:eastAsia="Familjen Grotesk" w:hAnsi="Familjen Grotesk"/>
          <w:b/>
          <w:bCs/>
          <w:color w:val="0E7A5F"/>
          <w:sz w:val="34"/>
          <w:szCs w:val="34"/>
        </w:rPr>
        <w:t xml:space="preserve">Modelo de pueblo: litoral, agua, trabajo y movilidad</w:t>
      </w:r>
    </w:p>
    <w:p>
      <w:pPr>
        <w:spacing w:after="120" w:before="0" w:line="276"/>
      </w:pPr>
      <w:r>
        <w:rPr>
          <w:rFonts w:ascii="Familjen Grotesk" w:cs="Familjen Grotesk" w:eastAsia="Familjen Grotesk" w:hAnsi="Familjen Grotesk"/>
          <w:b/>
          <w:bCs/>
          <w:i w:val="false"/>
          <w:iCs w:val="false"/>
          <w:caps w:val="false"/>
          <w:color w:val="0A5C47"/>
          <w:sz w:val="22"/>
          <w:szCs w:val="22"/>
        </w:rPr>
        <w:t xml:space="preserve">Un pueblo, no un escaparate.</w:t>
      </w:r>
    </w:p>
    <w:p>
      <w:pPr>
        <w:pBdr>
          <w:bottom w:val="single" w:color="D9351F" w:sz="12"/>
        </w:pBdr>
        <w:spacing w:after="200" w:before="0"/>
      </w:pPr>
      <w:r>
        <w:rPr>
          <w:sz w:val="2"/>
          <w:szCs w:val="2"/>
        </w:rPr>
        <w:t xml:space="preserv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EL PROBLEMA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Águilas tiene lo que casi ningún municipio del Mediterráneo conserva: costa sin construir. Cabo Cope, las Cuatro Calas, el Cabezo. Eso no es paisaje: es la única ventaja competitiva que no se puede copiar, y es lo primero que se pierde si se decide mal una vez.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El agua manda sobre todo lo demás. La desaladora está llamada a ampliarse antes de 2027 y sus paradas de mantenimiento ya condicionan el riego. Sin saber cuánta agua hay, cuánta se pierde en la red y cuánto cuesta, cualquier plan de crecimiento es un papel.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Y el trabajo: el paro ha bajado, pero sigue concentrado en hostelería, comercio y ocupaciones elementales. El objetivo del mandato no es crear empleo de cualquier tipo, sino que el que hay dure más meses y pague mejor.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Litoral y urbanismo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Moratoria de nuevos desarrollos en primera línea de costa hasta aprobar un plan del litoral participado, con la superficie recalificada de los últimos veinte años publicada como punto de partida.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Revisión del planeamiento general con participación real: exposición pública con sesiones en barrios y pedanías, y respuesta razonada y publicada a cada alegación.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Reserva marina en Cabo Cope, solicitada formalmente y con el expediente hecho desde el Ayuntamiento, no solo pedida en un pleno.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director de la Isla del Fraile compatible con la excavación arqueológica, sin uso turístico masivo mientras dure.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Ni un solo nuevo campo de golf ni desarrollo residencial que dependa de recursos hídricos no garantizados por escrito.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Agua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Auditoría pública del ciclo integral del agua y de la concesión actual: rendimiento de la red, pérdidas, tarifa, inversión comprometida y ejecutada. Publicada antes de renovar nada.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de reducción de pérdidas en la red con objetivo anual y sectorización, empezando por los tramos con más fugas.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Reutilización de aguas depuradas para riego de zonas verdes y baldeo, con el porcentaje reutilizado publicado cada año.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Posición pública del Ayuntamiento en la ampliación de la desaladora: qué caudal se destina a abastecimiento urbano, cuál a riego y quién paga la energía.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Democratización de las comunidades de regantes y transparencia en la asignación de caudales, con la información municipal disponible publicada.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Energía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municipal de energía con objetivo de autosuficiencia: fotovoltaica en todas las cubiertas municipales, empezando por colegios y polideportivo.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Una comunidad energética por barrio, con reserva de participaciones gratuitas para hogares en pobreza energética.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Auditoría del alumbrado público y sustitución con criterio de ahorro y de contaminación lumínica, especialmente en costa y pedanías.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Fotovoltaica para el bombeo y la desalación, exigida a quien opere las instalaciones.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Trabajo, turismo, campo y mar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de desestacionalización con objetivo medible: diez puntos más de ocupación entre octubre y mayo en el mandato, publicando el dato cada trimestre.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Turismo de naturaleza, patrimonio minero y ferroviario, senderismo homologado y buceo como oferta de temporada baja, con producto empaquetado y comercializado, no solo folletos.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Cláusulas sociales obligatorias en toda la contratación municipal: convenio del sector, estabilidad, límite a la subcontratación en cadena y pérdida del contrato al incumplirlas.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Oficina municipal de empleo y economía social, con acompañamiento a cooperativas de trabajo y prioridad a los sectores que aquí faltan: transformación agroalimentaria y pesquera, mantenimiento de renovables, cuidados.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Naves municipales en el polígono en alquiler con opción de compra para pequeñas empresas y cooperativas nuevas, con condiciones ligadas a empleo estable y ahorro energético.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Apoyo a la agricultura sostenible y a la recuperación de cultivos tradicionales, con oficina municipal que tramite la certificación ecológica y con compra pública de proximidad en comedores y centros municipales.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Defensa de la pesca artesanal: apoyo a la reserva marina, transformación de producto en tierra, y estudio del uso de la flota en limpieza del litoral durante las paradas.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de comercio de proximidad: peatonalización acordada con los comerciantes, mercadillo mensual de producto local y artesanía, y compromiso de pago municipal a proveedores en menos de 30 días.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Movilidad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Reclamación formal, con plazo y con recurso, de la reapertura del cercanías Murcia-Lorca-Águilas, y comparecencia anual del Ayuntamiento explicando en qué punto está.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La ubicación de la estación se decide con consulta a los vecinos y con estudio de accesibilidad publicado antes de la consulta.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Transporte urbano municipal con frecuencia real entre el casco, los barrios altos y las pedanías, con servicio a demanda donde no salga una línea fija.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Red de carril bici continua y segura entre el casco urbano, las playas y los campings, no tramos sueltos.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Accesibilidad: plan de eliminación de barreras con calendario por barrios, empezando por las pedanías turísticas y los itinerarios a centros de salud y colegios.</w:t>
      </w:r>
    </w:p>
    <w:p>
      <w:r>
        <w:br w:type="pag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EJE 04</w:t>
      </w:r>
    </w:p>
    <w:p>
      <w:pPr>
        <w:pStyle w:val="Heading1"/>
        <w:spacing w:after="140" w:before="260"/>
      </w:pPr>
      <w:r>
        <w:rPr>
          <w:rFonts w:ascii="Familjen Grotesk" w:cs="Familjen Grotesk" w:eastAsia="Familjen Grotesk" w:hAnsi="Familjen Grotesk"/>
          <w:b/>
          <w:bCs/>
          <w:color w:val="0E7A5F"/>
          <w:sz w:val="34"/>
          <w:szCs w:val="34"/>
        </w:rPr>
        <w:t xml:space="preserve">Democracia municipal</w:t>
      </w:r>
    </w:p>
    <w:p>
      <w:pPr>
        <w:spacing w:after="120" w:before="0" w:line="276"/>
      </w:pPr>
      <w:r>
        <w:rPr>
          <w:rFonts w:ascii="Familjen Grotesk" w:cs="Familjen Grotesk" w:eastAsia="Familjen Grotesk" w:hAnsi="Familjen Grotesk"/>
          <w:b/>
          <w:bCs/>
          <w:i w:val="false"/>
          <w:iCs w:val="false"/>
          <w:caps w:val="false"/>
          <w:color w:val="0A5C47"/>
          <w:sz w:val="22"/>
          <w:szCs w:val="22"/>
        </w:rPr>
        <w:t xml:space="preserve">Enséñame las cuentas.</w:t>
      </w:r>
    </w:p>
    <w:p>
      <w:pPr>
        <w:pBdr>
          <w:bottom w:val="single" w:color="D9351F" w:sz="12"/>
        </w:pBdr>
        <w:spacing w:after="200" w:before="0"/>
      </w:pPr>
      <w:r>
        <w:rPr>
          <w:sz w:val="2"/>
          <w:szCs w:val="2"/>
        </w:rPr>
        <w:t xml:space="preserv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EL PROBLEMA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La preocupación por el Gobierno y los partidos marca récord en las encuestas, y no se arregla con más discursos sobre participación. Se arregla enseñando el dinero.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En 2023 proponíamos crear doce consejos sectoriales. Eran demasiados y todos consultivos: un consejo que no decide sobre presupuesto es una reunión. Aquí proponemos menos órganos y más capacidad de decidir, y una regla sencilla para todo lo demás: lo que hace el Ayuntamiento con el dinero público se publica sin que nadie lo pida.</w:t>
      </w:r>
    </w:p>
    <w:p>
      <w:pPr>
        <w:spacing w:after="13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El adversario aquí es la opacidad, no las personas.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Transparencia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Todos los contratos menores publicados y buscables: proveedor, importe, objeto y fecha, actualizado cada mes.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Publicación de la ejecución presupuestaria trimestral en formato abierto y en una página que se entienda sin ser economista.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Agenda pública del alcalde o alcaldesa y de los concejales con dedicación, con reuniones con empresas y entidades registradas.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Registro de intereses y patrimonio de los cargos electos, publicado y actualizado al inicio y al final del mandato.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Protocolo de honradez firmado por todo el grupo municipal: ni el cargo ni personas o empresas vinculadas pueden tener concesiones del Ayuntamiento durante el mandato ni en los cinco años siguientes. Y pacto antitransfuguismo firmado en la sesión constitutiva.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Participación que decide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Presupuestos participativos vinculantes sobre el 25 % de la inversión anual, con voto abierto a partir de los 16 años y ejecución publicada cada trimestre.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Cuatro consejos, no doce: Consejo de Salud, Consejo de Ciudad y Litoral, Consejo de Servicios Sociales y Consejo de la Juventud. Con presupuesto asignado, orden del día público y acta publicada.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Plenos en horario de tarde, retransmitidos y con turno de intervención vecinal garantizado por reglamento.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Consulta popular municipal regulada por reglamento, con umbral de firmas alcanzable, para decisiones de calado: litoral, agua, grandes concesiones.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Juntas de pedanía con presupuesto propio y alcaldes pedáneos elegidos por los vecinos.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Hacienda municipal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Fiscalidad progresiva en lo que el Ayuntamiento puede decidir: recargo del IBI a vivienda vacía de grandes tenedores, bonificaciones a vivienda habitual, rehabilitación y autoconsumo, y tasas reducidas para rentas bajas.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Las multas corrigen conductas, no financian el presupuesto: publicación anual de lo recaudado por sanciones y de en qué se ha gastado.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de inversiones plurianual publicado con fechas y prioridades razonadas, para que las obras no dependan de la ocurrencia del año.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Supresión de tasas por expedición de certificados y compulsas.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0,7 % del presupuesto a cooperación, gestionado con las entidades locales y con las cuentas publicadas.</w:t>
      </w:r>
    </w:p>
    <w:p>
      <w:pPr>
        <w:pStyle w:val="Heading3"/>
        <w:spacing w:after="100" w:before="240"/>
      </w:pPr>
      <w:r>
        <w:rPr>
          <w:rFonts w:ascii="Familjen Grotesk" w:cs="Familjen Grotesk" w:eastAsia="Familjen Grotesk" w:hAnsi="Familjen Grotesk"/>
          <w:b/>
          <w:bCs/>
          <w:color w:val="0A5C47"/>
          <w:sz w:val="20"/>
          <w:szCs w:val="20"/>
        </w:rPr>
        <w:t xml:space="preserve">Administración, personal y convivencia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Relación de puestos de trabajo negociada y publicada, provisión por concurso y fin de la designación a dedo en puestos técnicos.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Plan de reducción de plazos: compromiso público de respuesta máxima por trámite, publicando cada trimestre cuánto se tarda de verdad.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Policía de barrio y de pedanías, con presencia a pie y refuerzo de plantilla dimensionado a la población de verano.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Servicio de atención al migrante reforzado y conveniado con los sindicatos para el asesoramiento laboral, y control municipal del cumplimiento de la normativa laboral en las contratas.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Protocolo municipal contra los discursos de odio: ninguna subvención, espacio ni cesión municipal a quien los promueva, con criterios escritos y revisables.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Public Sans" w:cs="Public Sans" w:eastAsia="Public Sans" w:hAnsi="Public Sans"/>
          <w:color w:val="141414"/>
          <w:sz w:val="20"/>
          <w:szCs w:val="20"/>
        </w:rPr>
        <w:t xml:space="preserve">Ordenanza de bienestar animal con colonias felinas controladas, esterilización sistemática y apoyo estable a la protectora.</w:t>
      </w:r>
    </w:p>
    <w:p>
      <w:r>
        <w:br w:type="pag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03 · HONESTIDAD COMPETENCIAL</w:t>
      </w:r>
    </w:p>
    <w:p>
      <w:pPr>
        <w:pStyle w:val="Heading1"/>
        <w:spacing w:after="140" w:before="260"/>
      </w:pPr>
      <w:r>
        <w:rPr>
          <w:rFonts w:ascii="Familjen Grotesk" w:cs="Familjen Grotesk" w:eastAsia="Familjen Grotesk" w:hAnsi="Familjen Grotesk"/>
          <w:b/>
          <w:bCs/>
          <w:color w:val="0E7A5F"/>
          <w:sz w:val="34"/>
          <w:szCs w:val="34"/>
        </w:rPr>
        <w:t xml:space="preserve">Lo que no depende del Ayuntamiento</w:t>
      </w:r>
    </w:p>
    <w:p>
      <w:pPr>
        <w:pBdr>
          <w:bottom w:val="single" w:color="D9351F" w:sz="12"/>
        </w:pBdr>
        <w:spacing w:after="200" w:before="0"/>
      </w:pPr>
      <w:r>
        <w:rPr>
          <w:sz w:val="2"/>
          <w:szCs w:val="2"/>
        </w:rPr>
        <w:t xml:space="preserve"/>
      </w:r>
    </w:p>
    <w:p>
      <w:pPr>
        <w:spacing w:after="20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Prometer lo que no se puede cumplir es la forma más rápida de que no te crean la próxima vez. Estas son las cosas que la gente nos va a pedir y que no decide el Ayuntamiento. Van en el programa igual, pero diciendo quién decide y qué haremos nosotros.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600"/>
        <w:gridCol w:w="4100"/>
      </w:tblGrid>
      <w:tr>
        <w:trPr>
          <w:tblHeader/>
        </w:trPr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Asunto</w:t>
            </w:r>
          </w:p>
        </w:tc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Quién decide</w:t>
            </w:r>
          </w:p>
        </w:tc>
        <w:tc>
          <w:tcPr>
            <w:tcW w:type="dxa" w:w="4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Qué hará el Ayuntamiento</w:t>
            </w:r>
          </w:p>
        </w:tc>
      </w:tr>
      <w:tr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CIAR, especialidades, listas de espera, plantillas sanitarias</w:t>
            </w:r>
          </w:p>
        </w:tc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Comunidad Autónoma (Servicio Murciano de Salud)</w:t>
            </w:r>
          </w:p>
        </w:tc>
        <w:tc>
          <w:tcPr>
            <w:tcW w:type="dxa" w:w="4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Reclamación por escrito con plazo, Consejo de Salud con acta pública, publicación de todas las respuestas y transporte sanitario gratuito a Lorca mientras falte el servicio.</w:t>
            </w:r>
          </w:p>
        </w:tc>
      </w:tr>
      <w:tr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Cercanías Murcia-Lorca-Águilas y ubicación de la estación</w:t>
            </w:r>
          </w:p>
        </w:tc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Ministerio de Transportes, Adif y Renfe; Comunidad Autónoma</w:t>
            </w:r>
          </w:p>
        </w:tc>
        <w:tc>
          <w:tcPr>
            <w:tcW w:type="dxa" w:w="4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Reclamación formal con plazo y recurso, alianza con Lorca y otros municipios, consulta vecinal sobre la estación y comparecencia anual del estado del asunto.</w:t>
            </w:r>
          </w:p>
        </w:tc>
      </w:tr>
      <w:tr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Ampliación de la desaladora y reparto de caudales</w:t>
            </w:r>
          </w:p>
        </w:tc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Ministerio para la Transición Ecológica y Confederación Hidrográfica</w:t>
            </w:r>
          </w:p>
        </w:tc>
        <w:tc>
          <w:tcPr>
            <w:tcW w:type="dxa" w:w="4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Posición pública del pleno, auditoría municipal del ciclo del agua y exigencia de que se publique el destino de cada caudal.</w:t>
            </w:r>
          </w:p>
        </w:tc>
      </w:tr>
      <w:tr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Oferta de formación profesional en los institutos</w:t>
            </w:r>
          </w:p>
        </w:tc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Consejería de Educación</w:t>
            </w:r>
          </w:p>
        </w:tc>
        <w:tc>
          <w:tcPr>
            <w:tcW w:type="dxa" w:w="4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Solicitud formal por ciclos concretos, cesión de suelo y locales, y convenios de prácticas con empresas del municipio.</w:t>
            </w:r>
          </w:p>
        </w:tc>
      </w:tr>
      <w:tr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Inspección de trabajo y convenios del campo y la hostelería</w:t>
            </w:r>
          </w:p>
        </w:tc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Administración General del Estado y sindicatos</w:t>
            </w:r>
          </w:p>
        </w:tc>
        <w:tc>
          <w:tcPr>
            <w:tcW w:type="dxa" w:w="4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Cláusulas sociales en lo municipal, comunicación de irregularidades detectadas en contratas y convenio con los sindicatos para asesoramiento.</w:t>
            </w:r>
          </w:p>
        </w:tc>
      </w:tr>
      <w:tr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Ley de vivienda, índices de precios y zonas tensionadas</w:t>
            </w:r>
          </w:p>
        </w:tc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Estado y Comunidad Autónoma</w:t>
            </w:r>
          </w:p>
        </w:tc>
        <w:tc>
          <w:tcPr>
            <w:tcW w:type="dxa" w:w="4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Solicitar la declaración de zona tensionada con el expediente hecho desde el Ayuntamiento y aplicar todo lo que sí es municipal: IBI, censo, registro turístico y parque público.</w:t>
            </w:r>
          </w:p>
        </w:tc>
      </w:tr>
      <w:tr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Juzgado de primera instancia y comisaría</w:t>
            </w:r>
          </w:p>
        </w:tc>
        <w:tc>
          <w:tcPr>
            <w:tcW w:type="dxa" w:w="26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Ministerio de Justicia y Ministerio del Interior</w:t>
            </w:r>
          </w:p>
        </w:tc>
        <w:tc>
          <w:tcPr>
            <w:tcW w:type="dxa" w:w="41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Solicitud motivada con datos de población y estacionalidad, y seguimiento anual publicado.</w:t>
            </w:r>
          </w:p>
        </w:tc>
      </w:tr>
    </w:tbl>
    <w:p>
      <w:r>
        <w:br w:type="page"/>
      </w:r>
    </w:p>
    <w:p>
      <w:pPr>
        <w:spacing w:after="60" w:before="0" w:line="276"/>
      </w:pPr>
      <w:r>
        <w:rPr>
          <w:rFonts w:ascii="Public Sans" w:cs="Public Sans" w:eastAsia="Public Sans" w:hAnsi="Public Sans"/>
          <w:b/>
          <w:bCs/>
          <w:i w:val="false"/>
          <w:iCs w:val="false"/>
          <w:caps w:val="false"/>
          <w:color w:val="0E7A5F"/>
          <w:sz w:val="15"/>
          <w:szCs w:val="15"/>
        </w:rPr>
        <w:t xml:space="preserve">04 · RENDICIÓN DE CUENTAS</w:t>
      </w:r>
    </w:p>
    <w:p>
      <w:pPr>
        <w:pStyle w:val="Heading1"/>
        <w:spacing w:after="140" w:before="260"/>
      </w:pPr>
      <w:r>
        <w:rPr>
          <w:rFonts w:ascii="Familjen Grotesk" w:cs="Familjen Grotesk" w:eastAsia="Familjen Grotesk" w:hAnsi="Familjen Grotesk"/>
          <w:b/>
          <w:bCs/>
          <w:color w:val="0E7A5F"/>
          <w:sz w:val="34"/>
          <w:szCs w:val="34"/>
        </w:rPr>
        <w:t xml:space="preserve">Cómo comprobar si cumplimos</w:t>
      </w:r>
    </w:p>
    <w:p>
      <w:pPr>
        <w:pBdr>
          <w:bottom w:val="single" w:color="D9351F" w:sz="12"/>
        </w:pBdr>
        <w:spacing w:after="200" w:before="0"/>
      </w:pPr>
      <w:r>
        <w:rPr>
          <w:sz w:val="2"/>
          <w:szCs w:val="2"/>
        </w:rPr>
        <w:t xml:space="preserve"/>
      </w:r>
    </w:p>
    <w:p>
      <w:pPr>
        <w:spacing w:after="20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Un programa sin forma de comprobarlo es un folleto. Estos son los ocho números que publicaremos cada año, con el dato de partida y el objetivo del mandato. Si no se mueven, no habremos cumplido.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2700"/>
        <w:gridCol w:w="2700"/>
      </w:tblGrid>
      <w:tr>
        <w:trPr>
          <w:tblHeader/>
        </w:trPr>
        <w:tc>
          <w:tcPr>
            <w:tcW w:type="dxa" w:w="39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Indicador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Punto de partida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shd w:fill="EFF4F1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0A5C47"/>
                <w:sz w:val="17"/>
                <w:szCs w:val="17"/>
              </w:rPr>
              <w:t xml:space="preserve">Objetivo del mandato</w:t>
            </w:r>
          </w:p>
        </w:tc>
      </w:tr>
      <w:tr>
        <w:tc>
          <w:tcPr>
            <w:tcW w:type="dxa" w:w="39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Viviendas de alquiler asequible de titularidad municipal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0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100</w:t>
            </w:r>
          </w:p>
        </w:tc>
      </w:tr>
      <w:tr>
        <w:tc>
          <w:tcPr>
            <w:tcW w:type="dxa" w:w="39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Viviendas vacías censadas y publicadas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Sin censo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Censo publicado y actualizado cada año</w:t>
            </w:r>
          </w:p>
        </w:tc>
      </w:tr>
      <w:tr>
        <w:tc>
          <w:tcPr>
            <w:tcW w:type="dxa" w:w="39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Plazas turísticas por cada 100 viviendas, por barrio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Sin registro municipal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Registro publicado y techo aprobado por ordenanza</w:t>
            </w:r>
          </w:p>
        </w:tc>
      </w:tr>
      <w:tr>
        <w:tc>
          <w:tcPr>
            <w:tcW w:type="dxa" w:w="39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Servicios efectivamente abiertos en el CIAR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Por confirmar a su apertura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Todos los comprometidos, con plantilla publicada</w:t>
            </w:r>
          </w:p>
        </w:tc>
      </w:tr>
      <w:tr>
        <w:tc>
          <w:tcPr>
            <w:tcW w:type="dxa" w:w="39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Ocupación turística de octubre a mayo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A fijar con el dato del primer año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+10 puntos</w:t>
            </w:r>
          </w:p>
        </w:tc>
      </w:tr>
      <w:tr>
        <w:tc>
          <w:tcPr>
            <w:tcW w:type="dxa" w:w="39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Pérdidas en la red de agua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A publicar en la auditoría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Reducción anual con objetivo escrito</w:t>
            </w:r>
          </w:p>
        </w:tc>
      </w:tr>
      <w:tr>
        <w:tc>
          <w:tcPr>
            <w:tcW w:type="dxa" w:w="39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Porcentaje de la inversión decidido en presupuestos participativos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0 %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25 %, con ejecución publicada cada trimestre</w:t>
            </w:r>
          </w:p>
        </w:tc>
      </w:tr>
      <w:tr>
        <w:tc>
          <w:tcPr>
            <w:tcW w:type="dxa" w:w="39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/>
                <w:bCs/>
                <w:color w:val="141414"/>
                <w:sz w:val="17"/>
                <w:szCs w:val="17"/>
              </w:rPr>
              <w:t xml:space="preserve">Contratos menores publicados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Parcial</w:t>
            </w:r>
          </w:p>
        </w:tc>
        <w:tc>
          <w:tcPr>
            <w:tcW w:type="dxa" w:w="2700"/>
            <w:tcBorders>
              <w:top w:val="single" w:color="D5D0CE" w:sz="2"/>
              <w:left w:val="none" w:color="FFFFFF" w:sz="0"/>
              <w:bottom w:val="single" w:color="D5D0CE" w:sz="2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40"/>
            </w:pPr>
            <w:r>
              <w:rPr>
                <w:rFonts w:ascii="Public Sans" w:cs="Public Sans" w:eastAsia="Public Sans" w:hAnsi="Public Sans"/>
                <w:b w:val="false"/>
                <w:bCs w:val="false"/>
                <w:color w:val="141414"/>
                <w:sz w:val="17"/>
                <w:szCs w:val="17"/>
              </w:rPr>
              <w:t xml:space="preserve">100 %, buscables y actualizados cada mes</w:t>
            </w:r>
          </w:p>
        </w:tc>
      </w:tr>
    </w:tbl>
    <w:p>
      <w:r>
        <w:br w:type="page"/>
      </w:r>
    </w:p>
    <w:p>
      <w:pPr>
        <w:pStyle w:val="Heading1"/>
        <w:spacing w:after="140" w:before="260"/>
      </w:pPr>
      <w:r>
        <w:rPr>
          <w:rFonts w:ascii="Familjen Grotesk" w:cs="Familjen Grotesk" w:eastAsia="Familjen Grotesk" w:hAnsi="Familjen Grotesk"/>
          <w:b/>
          <w:bCs/>
          <w:color w:val="0E7A5F"/>
          <w:sz w:val="34"/>
          <w:szCs w:val="34"/>
        </w:rPr>
        <w:t xml:space="preserve">Fuentes</w:t>
      </w:r>
    </w:p>
    <w:p>
      <w:pPr>
        <w:pBdr>
          <w:bottom w:val="single" w:color="D9351F" w:sz="12"/>
        </w:pBdr>
        <w:spacing w:after="200" w:before="0"/>
      </w:pPr>
      <w:r>
        <w:rPr>
          <w:sz w:val="2"/>
          <w:szCs w:val="2"/>
        </w:rPr>
        <w:t xml:space="preserve"/>
      </w:r>
    </w:p>
    <w:p>
      <w:pPr>
        <w:spacing w:after="180" w:before="0" w:line="276"/>
      </w:pPr>
      <w:r>
        <w:rPr>
          <w:rFonts w:ascii="Public Sans" w:cs="Public Sans" w:eastAsia="Public Sans" w:hAnsi="Public Sans"/>
          <w:b w:val="false"/>
          <w:bCs w:val="false"/>
          <w:i w:val="false"/>
          <w:iCs w:val="false"/>
          <w:caps w:val="false"/>
          <w:color w:val="141414"/>
          <w:sz w:val="20"/>
          <w:szCs w:val="20"/>
        </w:rPr>
        <w:t xml:space="preserve">Todas consultadas en septiembre de 2026. Antes de publicar el programa hay que volver a comprobarlas y actualizar las que hayan cambiado.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CIS, barómetro de mayo de 2026: la vivienda alcanza el récord de menciones como primer problema de España; crisis económica 20,7 %, inmigración 18,9 %, sanidad 17,8 %. Recogido en idealista/news, 29 de mayo de 2026.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CIS, barómetro de abril de 2026: la vivienda, primer problema para el 41,3 %. Nota del propio CIS.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idealista, informe de precio de vivienda en venta en Águilas, julio de 2026: 1.649 €/m², +8,8 % interanual; Calabardina-Cope +15,2 %; El Hornillo 2.563 €/m²; Centro 1.346 €/m².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Consejo de la Juventud de España, Observatorio de Emancipación: el alquiler consume el 98,7 % del salario joven y solo el 15,2 % de la juventud está emancipada.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CREM (Centro Regional de Estadística de Murcia), datos municipales de Águilas: paro registrado de julio de 2026, 1.741 personas, con 584 en servicios de restauración, personales, protección y vendedores y 422 en ocupaciones elementales; máximos de más de 2.800 en 2020-2021.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CREM e INE, cifras oficiales de población: Águilas pasa de 25.551 habitantes en 1993 a 37.811 en 2025; densidad de 150,2 habitantes por km².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Nota de IU sobre el CIAR de Águilas, febrero de 2026, recogida en murcia.com: el centro incluirá salud mental, urgencias y atención a desplazados, sin laboratorio, hospitalización de corta estancia ni cirugía menor ambulatoria, con la radiología sin garantizar; el gasto en pruebas de imagen concertadas ha crecido cerca de un 50 % en cinco años.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Informaciones de junio y julio de 2026 sobre la apertura del CIAR a finales de 2026 (murciahoy, noticiaslorca, COPE).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Ley 12/2023, de 24 de mayo, por el derecho a la vivienda: modificación del artículo 72.4 del texto refundido de la Ley Reguladora de las Haciendas Locales, que permite el recargo del IBI a la vivienda desocupada hasta el 150 %.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Murcia Plaza y ORM, abril de 2026: la vuelta del cercanías a Lorca se retrasa hasta el otoño de 2027. La7tv, agosto de 2026: debate sobre la ubicación de la estación de Águilas.</w:t>
      </w:r>
    </w:p>
    <w:p>
      <w:pPr>
        <w:pStyle w:val="ListParagraph"/>
        <w:numPr>
          <w:ilvl w:val="0"/>
          <w:numId w:val="2"/>
        </w:numPr>
        <w:spacing w:after="60" w:before="60" w:line="264"/>
      </w:pPr>
      <w:r>
        <w:rPr>
          <w:rFonts w:ascii="Public Sans" w:cs="Public Sans" w:eastAsia="Public Sans" w:hAnsi="Public Sans"/>
          <w:color w:val="141414"/>
          <w:sz w:val="17"/>
          <w:szCs w:val="17"/>
        </w:rPr>
        <w:t xml:space="preserve">iAgua: el MITECO impulsará la ampliación de las desaladoras de Águilas y Torrevieja antes de 2027. COPE, mayo de 2026: el mantenimiento de la desaladora paraliza el suministro a los regantes.</w:t>
      </w:r>
    </w:p>
    <w:sectPr>
      <w:pgSz w:w="11906" w:h="16838" w:orient="portrait"/>
      <w:pgMar w:top="1250" w:right="1250" w:bottom="115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400" w:hanging="260"/>
      </w:pPr>
      <w:rPr>
        <w:rFonts w:ascii="Public Sans" w:cs="Public Sans" w:eastAsia="Public Sans" w:hAnsi="Public Sans"/>
        <w:color w:val="D9351F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ublic Sans" w:cs="Public Sans" w:eastAsia="Public Sans" w:hAnsi="Public Sans"/>
        <w:color w:val="141414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municipal 2027 — Por Águilas</dc:title>
  <dc:creator>Por Águilas</dc:creator>
  <dc:description>Programa electoral municipal de Por Águilas para las elecciones de 2027</dc:description>
  <cp:lastModifiedBy>Un-named</cp:lastModifiedBy>
  <cp:revision>1</cp:revision>
  <dcterms:created xsi:type="dcterms:W3CDTF">2026-09-02T07:56:45.962Z</dcterms:created>
  <dcterms:modified xsi:type="dcterms:W3CDTF">2026-09-02T07:56:45.963Z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